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SRR &amp; CVR GOVERNMENT DEGREE COLLEGE(A), VIJAYAWADA</w:t>
      </w:r>
      <w:bookmarkStart w:id="0" w:name="_GoBack"/>
      <w:bookmarkEnd w:id="0"/>
    </w:p>
    <w:p>
      <w:pPr>
        <w:pBdr>
          <w:top w:val="none" w:color="auto" w:sz="0" w:space="0"/>
          <w:left w:val="none" w:color="auto" w:sz="0" w:space="0"/>
          <w:bottom w:val="none" w:color="auto" w:sz="0" w:space="0"/>
          <w:right w:val="none" w:color="auto" w:sz="0" w:space="0"/>
          <w:between w:val="none" w:color="auto" w:sz="0" w:space="0"/>
        </w:pBdr>
        <w:spacing w:after="0" w:line="360" w:lineRule="auto"/>
        <w:ind w:left="720"/>
        <w:rPr>
          <w:rFonts w:hint="default" w:ascii="Times New Roman" w:hAnsi="Times New Roman" w:eastAsia="Century Gothic" w:cs="Times New Roman"/>
          <w:color w:val="000000"/>
          <w:sz w:val="24"/>
          <w:szCs w:val="24"/>
          <w:u w:val="single"/>
          <w:lang w:val="en-US"/>
        </w:rPr>
      </w:pPr>
      <w:r>
        <w:rPr>
          <w:rFonts w:hint="default" w:ascii="Times New Roman" w:hAnsi="Times New Roman" w:eastAsia="Century Gothic" w:cs="Times New Roman"/>
          <w:b/>
          <w:bCs/>
          <w:color w:val="000000"/>
          <w:sz w:val="24"/>
          <w:szCs w:val="24"/>
          <w:u w:val="single"/>
          <w:lang w:val="en-US"/>
        </w:rPr>
        <w:t>Action taken report on Academic Audit suggestions</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3005"/>
        <w:gridCol w:w="4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after="0" w:line="360" w:lineRule="auto"/>
              <w:rPr>
                <w:rFonts w:hint="default" w:ascii="Times New Roman" w:hAnsi="Times New Roman" w:eastAsia="Century Gothic" w:cs="Times New Roman"/>
                <w:b/>
                <w:bCs/>
                <w:color w:val="000000"/>
                <w:sz w:val="24"/>
                <w:szCs w:val="24"/>
                <w:lang w:val="en-IN"/>
              </w:rPr>
            </w:pPr>
            <w:r>
              <w:rPr>
                <w:rFonts w:hint="default" w:ascii="Times New Roman" w:hAnsi="Times New Roman" w:eastAsia="Century Gothic" w:cs="Times New Roman"/>
                <w:b/>
                <w:bCs/>
                <w:color w:val="000000"/>
                <w:sz w:val="24"/>
                <w:szCs w:val="24"/>
                <w:lang w:val="en-IN"/>
              </w:rPr>
              <w:t>S.No</w:t>
            </w:r>
          </w:p>
        </w:tc>
        <w:tc>
          <w:tcPr>
            <w:tcW w:w="3240" w:type="dxa"/>
          </w:tcPr>
          <w:p>
            <w:pPr>
              <w:spacing w:after="0" w:line="360" w:lineRule="auto"/>
              <w:rPr>
                <w:rFonts w:hint="default" w:ascii="Times New Roman" w:hAnsi="Times New Roman" w:eastAsia="Century Gothic" w:cs="Times New Roman"/>
                <w:b/>
                <w:bCs/>
                <w:color w:val="000000"/>
                <w:sz w:val="24"/>
                <w:szCs w:val="24"/>
                <w:lang w:val="en-IN"/>
              </w:rPr>
            </w:pPr>
            <w:r>
              <w:rPr>
                <w:rFonts w:hint="default" w:ascii="Times New Roman" w:hAnsi="Times New Roman" w:eastAsia="Century Gothic" w:cs="Times New Roman"/>
                <w:b/>
                <w:bCs/>
                <w:color w:val="000000"/>
                <w:sz w:val="24"/>
                <w:szCs w:val="24"/>
                <w:lang w:val="en-IN"/>
              </w:rPr>
              <w:t>Suggestions</w:t>
            </w:r>
          </w:p>
        </w:tc>
        <w:tc>
          <w:tcPr>
            <w:tcW w:w="5092" w:type="dxa"/>
          </w:tcPr>
          <w:p>
            <w:pPr>
              <w:spacing w:after="0" w:line="360" w:lineRule="auto"/>
              <w:rPr>
                <w:rFonts w:hint="default" w:ascii="Times New Roman" w:hAnsi="Times New Roman" w:eastAsia="Century Gothic" w:cs="Times New Roman"/>
                <w:b/>
                <w:bCs/>
                <w:color w:val="000000"/>
                <w:sz w:val="24"/>
                <w:szCs w:val="24"/>
                <w:lang w:val="en-IN"/>
              </w:rPr>
            </w:pPr>
            <w:r>
              <w:rPr>
                <w:rFonts w:hint="default" w:ascii="Times New Roman" w:hAnsi="Times New Roman" w:eastAsia="Century Gothic" w:cs="Times New Roman"/>
                <w:b/>
                <w:bCs/>
                <w:color w:val="000000"/>
                <w:sz w:val="24"/>
                <w:szCs w:val="24"/>
                <w:lang w:val="en-IN"/>
              </w:rPr>
              <w:t>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after="0" w:line="360" w:lineRule="auto"/>
              <w:rPr>
                <w:rFonts w:hint="default" w:ascii="Times New Roman" w:hAnsi="Times New Roman" w:eastAsia="Century Gothic" w:cs="Times New Roman"/>
                <w:color w:val="000000"/>
                <w:sz w:val="24"/>
                <w:szCs w:val="24"/>
                <w:u w:val="single"/>
                <w:lang w:val="en-IN"/>
              </w:rPr>
            </w:pPr>
            <w:r>
              <w:rPr>
                <w:rFonts w:hint="default" w:ascii="Times New Roman" w:hAnsi="Times New Roman" w:eastAsia="Century Gothic" w:cs="Times New Roman"/>
                <w:color w:val="000000"/>
                <w:sz w:val="24"/>
                <w:szCs w:val="24"/>
                <w:lang w:val="en-IN"/>
              </w:rPr>
              <w:t>1.</w:t>
            </w: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Publications, Research projects, Study material to be posted on website.</w:t>
            </w:r>
          </w:p>
        </w:tc>
        <w:tc>
          <w:tcPr>
            <w:tcW w:w="5092" w:type="dxa"/>
          </w:tcPr>
          <w:p>
            <w:pPr>
              <w:spacing w:after="0" w:line="360" w:lineRule="auto"/>
              <w:rPr>
                <w:rFonts w:hint="default" w:ascii="Times New Roman" w:hAnsi="Times New Roman" w:eastAsia="Century Gothic" w:cs="Times New Roman"/>
                <w:color w:val="000000"/>
                <w:sz w:val="24"/>
                <w:szCs w:val="24"/>
                <w:u w:val="single"/>
                <w:lang w:val="en-IN"/>
              </w:rPr>
            </w:pPr>
            <w:r>
              <w:rPr>
                <w:rFonts w:hint="default" w:ascii="Times New Roman" w:hAnsi="Times New Roman" w:eastAsia="Century Gothic" w:cs="Times New Roman"/>
                <w:color w:val="000000"/>
                <w:sz w:val="24"/>
                <w:szCs w:val="24"/>
                <w:lang w:val="en-IN"/>
              </w:rPr>
              <w:t>Publications posted on website. Study materials are posted in Google classrooms.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w:t>
            </w: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Can mobilize more funds from Government and Non Government organizations.</w:t>
            </w:r>
          </w:p>
        </w:tc>
        <w:tc>
          <w:tcPr>
            <w:tcW w:w="5092" w:type="dxa"/>
          </w:tcPr>
          <w:p>
            <w:pPr>
              <w:spacing w:after="0" w:line="360" w:lineRule="auto"/>
              <w:rPr>
                <w:rFonts w:hint="default" w:ascii="Times New Roman" w:hAnsi="Times New Roman" w:eastAsia="Century Gothic" w:cs="Times New Roman"/>
                <w:color w:val="000000"/>
                <w:sz w:val="24"/>
                <w:szCs w:val="24"/>
                <w:u w:val="single"/>
                <w:lang w:val="en-IN"/>
              </w:rPr>
            </w:pPr>
            <w:r>
              <w:rPr>
                <w:rFonts w:hint="default" w:ascii="Times New Roman" w:hAnsi="Times New Roman" w:eastAsia="Century Gothic" w:cs="Times New Roman"/>
                <w:color w:val="000000"/>
                <w:sz w:val="24"/>
                <w:szCs w:val="24"/>
                <w:lang w:val="en-IN"/>
              </w:rPr>
              <w:t>Got sanctioned for better ranking in NIRF from the State Government. Mobilized funds from Alumni, Walkers association and other Philanthropists during last three years.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after="0" w:line="360" w:lineRule="auto"/>
              <w:rPr>
                <w:rFonts w:hint="default" w:ascii="Times New Roman" w:hAnsi="Times New Roman" w:eastAsia="Century Gothic" w:cs="Times New Roman"/>
                <w:color w:val="000000"/>
                <w:sz w:val="24"/>
                <w:szCs w:val="24"/>
                <w:u w:val="single"/>
                <w:lang w:val="en-IN"/>
              </w:rPr>
            </w:pPr>
            <w:r>
              <w:rPr>
                <w:rFonts w:hint="default" w:ascii="Times New Roman" w:hAnsi="Times New Roman" w:eastAsia="Century Gothic" w:cs="Times New Roman"/>
                <w:color w:val="000000"/>
                <w:sz w:val="24"/>
                <w:szCs w:val="24"/>
                <w:lang w:val="en-IN"/>
              </w:rPr>
              <w:t>3.</w:t>
            </w:r>
          </w:p>
        </w:tc>
        <w:tc>
          <w:tcPr>
            <w:tcW w:w="3240" w:type="dxa"/>
          </w:tcPr>
          <w:p>
            <w:pPr>
              <w:spacing w:after="0" w:line="360" w:lineRule="auto"/>
              <w:rPr>
                <w:rFonts w:hint="default" w:ascii="Times New Roman" w:hAnsi="Times New Roman" w:eastAsia="Century Gothic" w:cs="Times New Roman"/>
                <w:color w:val="000000"/>
                <w:sz w:val="24"/>
                <w:szCs w:val="24"/>
                <w:u w:val="single"/>
                <w:lang w:val="en-IN"/>
              </w:rPr>
            </w:pPr>
            <w:r>
              <w:rPr>
                <w:rFonts w:hint="default" w:ascii="Times New Roman" w:hAnsi="Times New Roman" w:eastAsia="Century Gothic" w:cs="Times New Roman"/>
                <w:color w:val="000000"/>
                <w:sz w:val="24"/>
                <w:szCs w:val="24"/>
                <w:lang w:val="en-IN"/>
              </w:rPr>
              <w:t>More Faculty development programs need to be conducted.</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2 FDP programs are conducted by the college,  Conducted many faculty development programs in collaboration with CCE. But faculty attended many faculty programs conducted by other institutes and got accustomed to new technologies.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after="0" w:line="360" w:lineRule="auto"/>
              <w:rPr>
                <w:rFonts w:hint="default" w:ascii="Times New Roman" w:hAnsi="Times New Roman" w:eastAsia="Century Gothic" w:cs="Times New Roman"/>
                <w:color w:val="000000"/>
                <w:sz w:val="24"/>
                <w:szCs w:val="24"/>
                <w:u w:val="single"/>
                <w:lang w:val="en-IN"/>
              </w:rPr>
            </w:pPr>
            <w:r>
              <w:rPr>
                <w:rFonts w:hint="default" w:ascii="Times New Roman" w:hAnsi="Times New Roman" w:eastAsia="Century Gothic" w:cs="Times New Roman"/>
                <w:color w:val="000000"/>
                <w:sz w:val="24"/>
                <w:szCs w:val="24"/>
                <w:lang w:val="en-IN"/>
              </w:rPr>
              <w:t>4.</w:t>
            </w: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More funds to be mobilized from Alumni.</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Alumni contributed 8 Lakhs during 2019-21 for completion of Ground floor of new building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after="0" w:line="360" w:lineRule="auto"/>
              <w:rPr>
                <w:rFonts w:hint="default" w:ascii="Times New Roman" w:hAnsi="Times New Roman" w:eastAsia="Century Gothic" w:cs="Times New Roman"/>
                <w:color w:val="000000"/>
                <w:sz w:val="24"/>
                <w:szCs w:val="24"/>
                <w:u w:val="single"/>
                <w:lang w:val="en-IN"/>
              </w:rPr>
            </w:pPr>
            <w:r>
              <w:rPr>
                <w:rFonts w:hint="default" w:ascii="Times New Roman" w:hAnsi="Times New Roman" w:eastAsia="Century Gothic" w:cs="Times New Roman"/>
                <w:color w:val="000000"/>
                <w:sz w:val="24"/>
                <w:szCs w:val="24"/>
                <w:lang w:val="en-IN"/>
              </w:rPr>
              <w:t>5.</w:t>
            </w:r>
          </w:p>
        </w:tc>
        <w:tc>
          <w:tcPr>
            <w:tcW w:w="3240" w:type="dxa"/>
          </w:tcPr>
          <w:p>
            <w:pPr>
              <w:spacing w:after="0" w:line="360" w:lineRule="auto"/>
              <w:rPr>
                <w:rFonts w:hint="default" w:ascii="Times New Roman" w:hAnsi="Times New Roman" w:eastAsia="Century Gothic" w:cs="Times New Roman"/>
                <w:color w:val="000000"/>
                <w:sz w:val="24"/>
                <w:szCs w:val="24"/>
                <w:u w:val="single"/>
                <w:lang w:val="en-IN"/>
              </w:rPr>
            </w:pPr>
            <w:r>
              <w:rPr>
                <w:rFonts w:hint="default" w:ascii="Times New Roman" w:hAnsi="Times New Roman" w:eastAsia="Century Gothic" w:cs="Times New Roman"/>
                <w:color w:val="000000"/>
                <w:sz w:val="24"/>
                <w:szCs w:val="24"/>
                <w:lang w:val="en-IN"/>
              </w:rPr>
              <w:t>Percentage of students Coaching for Competitive exams should be increased.</w:t>
            </w:r>
          </w:p>
        </w:tc>
        <w:tc>
          <w:tcPr>
            <w:tcW w:w="5092" w:type="dxa"/>
          </w:tcPr>
          <w:p>
            <w:pPr>
              <w:spacing w:after="0" w:line="360" w:lineRule="auto"/>
              <w:rPr>
                <w:rFonts w:hint="default" w:ascii="Times New Roman" w:hAnsi="Times New Roman" w:eastAsia="Century Gothic" w:cs="Times New Roman"/>
                <w:color w:val="000000"/>
                <w:sz w:val="24"/>
                <w:szCs w:val="24"/>
                <w:u w:val="single"/>
                <w:lang w:val="en-IN"/>
              </w:rPr>
            </w:pPr>
            <w:r>
              <w:rPr>
                <w:rFonts w:hint="default" w:ascii="Times New Roman" w:hAnsi="Times New Roman" w:eastAsia="Century Gothic" w:cs="Times New Roman"/>
                <w:color w:val="000000"/>
                <w:sz w:val="24"/>
                <w:szCs w:val="24"/>
                <w:lang w:val="en-IN"/>
              </w:rPr>
              <w:t xml:space="preserve">Coaching in Communication skills, Analytical skills, Soft skills through Jawahar Knowledge Centre is made compulsory to all students of the college. The time table for JKC is blended with college time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6.</w:t>
            </w: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Average percentage of placement for outgoing students should be increased</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There is 30 percent of increase in placements of the college students.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7.</w:t>
            </w: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Student progression to higher studies should be increased.</w:t>
            </w:r>
          </w:p>
        </w:tc>
        <w:tc>
          <w:tcPr>
            <w:tcW w:w="5092" w:type="dxa"/>
          </w:tcPr>
          <w:p>
            <w:pPr>
              <w:spacing w:after="0" w:line="360" w:lineRule="auto"/>
              <w:rPr>
                <w:rFonts w:hint="default" w:ascii="Times New Roman" w:hAnsi="Times New Roman" w:eastAsia="Century Gothic" w:cs="Times New Roman"/>
                <w:color w:val="000000"/>
                <w:sz w:val="24"/>
                <w:szCs w:val="24"/>
              </w:rPr>
            </w:pPr>
            <w:r>
              <w:rPr>
                <w:rFonts w:hint="default" w:ascii="Times New Roman" w:hAnsi="Times New Roman" w:eastAsia="Century Gothic" w:cs="Times New Roman"/>
                <w:color w:val="000000"/>
                <w:sz w:val="24"/>
                <w:szCs w:val="24"/>
              </w:rPr>
              <w:t>Information posted in Criterion-V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8.</w:t>
            </w: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Student Grievance redress mechanism</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Girl students grievance readdress mechanism is taken care by Women empowerment cell. Other students grievances are taken care by the Internal Grievance readdress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9.</w:t>
            </w: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Need to conduct IPR workshop</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Conducted one workshop on IPR.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10.</w:t>
            </w: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Extension activities should be increased and recorded.</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Extension activities are increased and reports are maintained.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11.</w:t>
            </w: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Number of awards to institute and faculty should be improved.</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Dr Illa Ravi got the best services award by Red-cross society. College, Principal, Faculty received Green initiative awards from MGNRE, India.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numPr>
                <w:ilvl w:val="0"/>
                <w:numId w:val="1"/>
              </w:numPr>
              <w:spacing w:after="0" w:line="360" w:lineRule="auto"/>
              <w:rPr>
                <w:rFonts w:hint="default" w:ascii="Times New Roman" w:hAnsi="Times New Roman" w:eastAsia="Century Gothic" w:cs="Times New Roman"/>
                <w:color w:val="000000"/>
                <w:sz w:val="24"/>
                <w:szCs w:val="24"/>
                <w:lang w:val="en-IN"/>
              </w:rPr>
            </w:pP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Improve the number of Student projects</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Almost all the final year students are submitting Student projects in their Cluster subject.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numPr>
                <w:ilvl w:val="0"/>
                <w:numId w:val="1"/>
              </w:numPr>
              <w:spacing w:after="0" w:line="360" w:lineRule="auto"/>
              <w:rPr>
                <w:rFonts w:hint="default" w:ascii="Times New Roman" w:hAnsi="Times New Roman" w:eastAsia="Century Gothic" w:cs="Times New Roman"/>
                <w:color w:val="000000"/>
                <w:sz w:val="24"/>
                <w:szCs w:val="24"/>
                <w:lang w:val="en-IN"/>
              </w:rPr>
            </w:pP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Enroll the students for internships</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Internship enrollment is going on for I year and II year students.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numPr>
                <w:ilvl w:val="0"/>
                <w:numId w:val="1"/>
              </w:numPr>
              <w:spacing w:after="0" w:line="360" w:lineRule="auto"/>
              <w:rPr>
                <w:rFonts w:hint="default" w:ascii="Times New Roman" w:hAnsi="Times New Roman" w:eastAsia="Century Gothic" w:cs="Times New Roman"/>
                <w:color w:val="000000"/>
                <w:sz w:val="24"/>
                <w:szCs w:val="24"/>
                <w:lang w:val="en-IN"/>
              </w:rPr>
            </w:pP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Research to be improved</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Number of Paper publications and number of faculty acquired Doctorate degrees increased. At present there are 43 Doctorates in the college. Total 10 faculty members acquired PH .D’s during last five years. Number of Paper publications also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numPr>
                <w:ilvl w:val="0"/>
                <w:numId w:val="1"/>
              </w:numPr>
              <w:spacing w:after="0" w:line="360" w:lineRule="auto"/>
              <w:rPr>
                <w:rFonts w:hint="default" w:ascii="Times New Roman" w:hAnsi="Times New Roman" w:eastAsia="Century Gothic" w:cs="Times New Roman"/>
                <w:color w:val="000000"/>
                <w:sz w:val="24"/>
                <w:szCs w:val="24"/>
                <w:lang w:val="en-IN"/>
              </w:rPr>
            </w:pP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Facilities for differently</w:t>
            </w:r>
            <w:r>
              <w:rPr>
                <w:rFonts w:hint="default" w:ascii="Times New Roman" w:hAnsi="Times New Roman" w:eastAsia="Century Gothic" w:cs="Times New Roman"/>
                <w:color w:val="000000"/>
                <w:sz w:val="24"/>
                <w:szCs w:val="24"/>
              </w:rPr>
              <w:t xml:space="preserve"> able</w:t>
            </w:r>
            <w:r>
              <w:rPr>
                <w:rFonts w:hint="default" w:ascii="Times New Roman" w:hAnsi="Times New Roman" w:eastAsia="Century Gothic" w:cs="Times New Roman"/>
                <w:color w:val="000000"/>
                <w:sz w:val="24"/>
                <w:szCs w:val="24"/>
                <w:lang w:val="en-IN"/>
              </w:rPr>
              <w:t xml:space="preserve"> students</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Increased the facilities and scholarships for specially challenged students.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numPr>
                <w:ilvl w:val="0"/>
                <w:numId w:val="1"/>
              </w:numPr>
              <w:spacing w:after="0" w:line="360" w:lineRule="auto"/>
              <w:rPr>
                <w:rFonts w:hint="default" w:ascii="Times New Roman" w:hAnsi="Times New Roman" w:eastAsia="Century Gothic" w:cs="Times New Roman"/>
                <w:color w:val="000000"/>
                <w:sz w:val="24"/>
                <w:szCs w:val="24"/>
                <w:lang w:val="en-IN"/>
              </w:rPr>
            </w:pP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Co-curricular activities to be recorded</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Recorded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numPr>
                <w:ilvl w:val="0"/>
                <w:numId w:val="1"/>
              </w:numPr>
              <w:spacing w:after="0" w:line="360" w:lineRule="auto"/>
              <w:rPr>
                <w:rFonts w:hint="default" w:ascii="Times New Roman" w:hAnsi="Times New Roman" w:eastAsia="Century Gothic" w:cs="Times New Roman"/>
                <w:color w:val="000000"/>
                <w:sz w:val="24"/>
                <w:szCs w:val="24"/>
                <w:lang w:val="en-IN"/>
              </w:rPr>
            </w:pP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Collect online feedback</w:t>
            </w:r>
          </w:p>
        </w:tc>
        <w:tc>
          <w:tcPr>
            <w:tcW w:w="5092"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Online feedback taken and analysed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numPr>
                <w:ilvl w:val="0"/>
                <w:numId w:val="1"/>
              </w:numPr>
              <w:spacing w:after="0" w:line="360" w:lineRule="auto"/>
              <w:rPr>
                <w:rFonts w:hint="default" w:ascii="Times New Roman" w:hAnsi="Times New Roman" w:eastAsia="Century Gothic" w:cs="Times New Roman"/>
                <w:color w:val="000000"/>
                <w:sz w:val="24"/>
                <w:szCs w:val="24"/>
                <w:lang w:val="en-IN"/>
              </w:rPr>
            </w:pP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Conduct more number of workshops and Seminars</w:t>
            </w:r>
          </w:p>
        </w:tc>
        <w:tc>
          <w:tcPr>
            <w:tcW w:w="5092"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 xml:space="preserve">2019-20    -     2 workshops </w:t>
            </w:r>
          </w:p>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 xml:space="preserve">2020-21    -     2 workshops  </w:t>
            </w:r>
          </w:p>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 xml:space="preserve">2021-22    -     8 workshops </w:t>
            </w:r>
          </w:p>
          <w:p>
            <w:pPr>
              <w:spacing w:after="0" w:line="360" w:lineRule="auto"/>
              <w:rPr>
                <w:rFonts w:hint="default" w:ascii="Times New Roman" w:hAnsi="Times New Roman" w:eastAsia="Century Gothic" w:cs="Times New Roman"/>
                <w:sz w:val="24"/>
                <w:szCs w:val="24"/>
                <w:lang w:val="en-I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numPr>
                <w:ilvl w:val="0"/>
                <w:numId w:val="1"/>
              </w:numPr>
              <w:spacing w:after="0" w:line="360" w:lineRule="auto"/>
              <w:rPr>
                <w:rFonts w:hint="default" w:ascii="Times New Roman" w:hAnsi="Times New Roman" w:eastAsia="Century Gothic" w:cs="Times New Roman"/>
                <w:color w:val="000000"/>
                <w:sz w:val="24"/>
                <w:szCs w:val="24"/>
                <w:lang w:val="en-IN"/>
              </w:rPr>
            </w:pPr>
          </w:p>
        </w:tc>
        <w:tc>
          <w:tcPr>
            <w:tcW w:w="3240" w:type="dxa"/>
          </w:tcPr>
          <w:p>
            <w:pPr>
              <w:spacing w:after="0" w:line="360" w:lineRule="auto"/>
              <w:rPr>
                <w:rFonts w:hint="default" w:ascii="Times New Roman" w:hAnsi="Times New Roman" w:eastAsia="Century Gothic" w:cs="Times New Roman"/>
                <w:color w:val="000000"/>
                <w:sz w:val="24"/>
                <w:szCs w:val="24"/>
                <w:lang w:val="en-IN"/>
              </w:rPr>
            </w:pPr>
            <w:r>
              <w:rPr>
                <w:rFonts w:hint="default" w:ascii="Times New Roman" w:hAnsi="Times New Roman" w:eastAsia="Century Gothic" w:cs="Times New Roman"/>
                <w:color w:val="000000"/>
                <w:sz w:val="24"/>
                <w:szCs w:val="24"/>
                <w:lang w:val="en-IN"/>
              </w:rPr>
              <w:t>Collect More books for Library</w:t>
            </w:r>
          </w:p>
        </w:tc>
        <w:tc>
          <w:tcPr>
            <w:tcW w:w="5092" w:type="dxa"/>
          </w:tcPr>
          <w:p>
            <w:pPr>
              <w:spacing w:after="0" w:line="360" w:lineRule="auto"/>
              <w:rPr>
                <w:rFonts w:hint="default" w:ascii="Times New Roman" w:hAnsi="Times New Roman" w:eastAsia="Century Gothic" w:cs="Times New Roman"/>
                <w:sz w:val="24"/>
                <w:szCs w:val="24"/>
                <w:lang w:val="en-IN"/>
              </w:rPr>
            </w:pPr>
            <w:r>
              <w:rPr>
                <w:rFonts w:hint="default" w:ascii="Times New Roman" w:hAnsi="Times New Roman" w:eastAsia="Century Gothic" w:cs="Times New Roman"/>
                <w:sz w:val="24"/>
                <w:szCs w:val="24"/>
                <w:lang w:val="en-IN"/>
              </w:rPr>
              <w:t>Books are not procured in 2020-21 due to pandemic year.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numPr>
                <w:ilvl w:val="0"/>
                <w:numId w:val="1"/>
              </w:numPr>
              <w:spacing w:after="0" w:line="360" w:lineRule="auto"/>
              <w:rPr>
                <w:rFonts w:hint="default" w:ascii="Times New Roman" w:hAnsi="Times New Roman" w:eastAsia="Century Gothic" w:cs="Times New Roman"/>
                <w:color w:val="000000"/>
                <w:sz w:val="24"/>
                <w:szCs w:val="24"/>
                <w:lang w:val="en-IN"/>
              </w:rPr>
            </w:pPr>
          </w:p>
        </w:tc>
        <w:tc>
          <w:tcPr>
            <w:tcW w:w="3240" w:type="dxa"/>
            <w:vAlign w:val="top"/>
          </w:tcPr>
          <w:p>
            <w:pPr>
              <w:spacing w:after="0" w:line="360" w:lineRule="auto"/>
              <w:rPr>
                <w:rFonts w:hint="default" w:ascii="Times New Roman" w:hAnsi="Times New Roman" w:eastAsia="Century Gothic" w:cs="Times New Roman"/>
                <w:color w:val="000000"/>
                <w:sz w:val="24"/>
                <w:szCs w:val="24"/>
                <w:u w:val="none"/>
                <w:vertAlign w:val="baseline"/>
                <w:lang w:val="en-IN" w:eastAsia="en-IN" w:bidi="ar-SA"/>
              </w:rPr>
            </w:pPr>
            <w:r>
              <w:rPr>
                <w:rFonts w:hint="default" w:ascii="Times New Roman" w:hAnsi="Times New Roman" w:eastAsia="Century Gothic" w:cs="Times New Roman"/>
                <w:color w:val="000000"/>
                <w:sz w:val="24"/>
                <w:szCs w:val="24"/>
                <w:u w:val="none"/>
                <w:vertAlign w:val="baseline"/>
                <w:lang w:val="en-IN"/>
              </w:rPr>
              <w:t>Need to set up Incubation Centre</w:t>
            </w:r>
          </w:p>
        </w:tc>
        <w:tc>
          <w:tcPr>
            <w:tcW w:w="5092" w:type="dxa"/>
            <w:vAlign w:val="top"/>
          </w:tcPr>
          <w:p>
            <w:pPr>
              <w:spacing w:after="0" w:line="360" w:lineRule="auto"/>
              <w:rPr>
                <w:rFonts w:hint="default" w:ascii="Times New Roman" w:hAnsi="Times New Roman" w:eastAsia="Century Gothic" w:cs="Times New Roman"/>
                <w:color w:val="auto"/>
                <w:sz w:val="24"/>
                <w:szCs w:val="24"/>
                <w:u w:val="none"/>
                <w:vertAlign w:val="baseline"/>
                <w:lang w:val="en-IN" w:eastAsia="en-IN" w:bidi="ar-SA"/>
              </w:rPr>
            </w:pPr>
            <w:r>
              <w:rPr>
                <w:rFonts w:hint="default" w:ascii="Times New Roman" w:hAnsi="Times New Roman" w:eastAsia="Century Gothic" w:cs="Times New Roman"/>
                <w:color w:val="auto"/>
                <w:sz w:val="24"/>
                <w:szCs w:val="24"/>
                <w:u w:val="none"/>
                <w:vertAlign w:val="baseline"/>
                <w:lang w:val="en-IN"/>
              </w:rPr>
              <w:t>It is under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numPr>
                <w:ilvl w:val="0"/>
                <w:numId w:val="1"/>
              </w:numPr>
              <w:spacing w:after="0" w:line="360" w:lineRule="auto"/>
              <w:rPr>
                <w:rFonts w:hint="default" w:ascii="Times New Roman" w:hAnsi="Times New Roman" w:eastAsia="Century Gothic" w:cs="Times New Roman"/>
                <w:color w:val="000000"/>
                <w:sz w:val="24"/>
                <w:szCs w:val="24"/>
                <w:lang w:val="en-IN"/>
              </w:rPr>
            </w:pPr>
          </w:p>
        </w:tc>
        <w:tc>
          <w:tcPr>
            <w:tcW w:w="3240" w:type="dxa"/>
            <w:vAlign w:val="top"/>
          </w:tcPr>
          <w:p>
            <w:pPr>
              <w:spacing w:after="0" w:line="360" w:lineRule="auto"/>
              <w:rPr>
                <w:rFonts w:hint="default" w:ascii="Times New Roman" w:hAnsi="Times New Roman" w:eastAsia="Century Gothic" w:cs="Times New Roman"/>
                <w:color w:val="000000"/>
                <w:sz w:val="24"/>
                <w:szCs w:val="24"/>
                <w:u w:val="none"/>
                <w:vertAlign w:val="baseline"/>
                <w:lang w:val="en-IN" w:eastAsia="en-IN" w:bidi="ar-SA"/>
              </w:rPr>
            </w:pPr>
            <w:r>
              <w:rPr>
                <w:rFonts w:hint="default" w:ascii="Times New Roman" w:hAnsi="Times New Roman" w:eastAsia="Century Gothic" w:cs="Times New Roman"/>
                <w:color w:val="000000"/>
                <w:sz w:val="24"/>
                <w:szCs w:val="24"/>
                <w:u w:val="none"/>
                <w:vertAlign w:val="baseline"/>
                <w:lang w:val="en-IN"/>
              </w:rPr>
              <w:t>Details of the students who participated in Non Government and Government social initiatives</w:t>
            </w:r>
          </w:p>
        </w:tc>
        <w:tc>
          <w:tcPr>
            <w:tcW w:w="5092" w:type="dxa"/>
            <w:vAlign w:val="top"/>
          </w:tcPr>
          <w:p>
            <w:pPr>
              <w:spacing w:after="0" w:line="360" w:lineRule="auto"/>
              <w:rPr>
                <w:rFonts w:hint="default" w:ascii="Times New Roman" w:hAnsi="Times New Roman" w:eastAsia="Century Gothic" w:cs="Times New Roman"/>
                <w:color w:val="auto"/>
                <w:sz w:val="24"/>
                <w:szCs w:val="24"/>
                <w:u w:val="none"/>
                <w:vertAlign w:val="baseline"/>
                <w:lang w:val="en-IN" w:eastAsia="en-IN" w:bidi="ar-SA"/>
              </w:rPr>
            </w:pPr>
            <w:r>
              <w:rPr>
                <w:rFonts w:hint="default" w:ascii="Times New Roman" w:hAnsi="Times New Roman" w:eastAsia="Century Gothic" w:cs="Times New Roman"/>
                <w:color w:val="auto"/>
                <w:sz w:val="24"/>
                <w:szCs w:val="24"/>
                <w:u w:val="none"/>
                <w:vertAlign w:val="baseline"/>
                <w:lang w:val="en-IN"/>
              </w:rPr>
              <w:t>In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numPr>
                <w:ilvl w:val="0"/>
                <w:numId w:val="1"/>
              </w:numPr>
              <w:spacing w:after="0" w:line="360" w:lineRule="auto"/>
              <w:rPr>
                <w:rFonts w:hint="default" w:ascii="Times New Roman" w:hAnsi="Times New Roman" w:eastAsia="Century Gothic" w:cs="Times New Roman"/>
                <w:color w:val="000000"/>
                <w:sz w:val="24"/>
                <w:szCs w:val="24"/>
                <w:lang w:val="en-IN"/>
              </w:rPr>
            </w:pPr>
          </w:p>
        </w:tc>
        <w:tc>
          <w:tcPr>
            <w:tcW w:w="3240" w:type="dxa"/>
            <w:vAlign w:val="top"/>
          </w:tcPr>
          <w:p>
            <w:pPr>
              <w:spacing w:after="0" w:line="360" w:lineRule="auto"/>
              <w:rPr>
                <w:rFonts w:hint="default" w:ascii="Times New Roman" w:hAnsi="Times New Roman" w:eastAsia="Century Gothic" w:cs="Times New Roman"/>
                <w:color w:val="000000"/>
                <w:sz w:val="24"/>
                <w:szCs w:val="24"/>
                <w:u w:val="none"/>
                <w:vertAlign w:val="baseline"/>
                <w:lang w:val="en-IN" w:eastAsia="en-IN" w:bidi="ar-SA"/>
              </w:rPr>
            </w:pPr>
            <w:r>
              <w:rPr>
                <w:rFonts w:hint="default" w:ascii="Times New Roman" w:hAnsi="Times New Roman" w:eastAsia="Century Gothic" w:cs="Times New Roman"/>
                <w:color w:val="000000"/>
                <w:sz w:val="24"/>
                <w:szCs w:val="24"/>
                <w:u w:val="none"/>
                <w:vertAlign w:val="baseline"/>
                <w:lang w:val="en-IN"/>
              </w:rPr>
              <w:t>Suggested for more Research centers in eligible departments</w:t>
            </w:r>
          </w:p>
        </w:tc>
        <w:tc>
          <w:tcPr>
            <w:tcW w:w="5092" w:type="dxa"/>
            <w:vAlign w:val="top"/>
          </w:tcPr>
          <w:p>
            <w:pPr>
              <w:spacing w:after="0" w:line="360" w:lineRule="auto"/>
              <w:rPr>
                <w:rFonts w:hint="default" w:ascii="Times New Roman" w:hAnsi="Times New Roman" w:eastAsia="Century Gothic" w:cs="Times New Roman"/>
                <w:color w:val="auto"/>
                <w:sz w:val="24"/>
                <w:szCs w:val="24"/>
                <w:u w:val="none"/>
                <w:vertAlign w:val="baseline"/>
                <w:lang w:val="en-IN" w:eastAsia="en-IN" w:bidi="ar-SA"/>
              </w:rPr>
            </w:pPr>
            <w:r>
              <w:rPr>
                <w:rFonts w:hint="default" w:ascii="Times New Roman" w:hAnsi="Times New Roman" w:eastAsia="Century Gothic" w:cs="Times New Roman"/>
                <w:color w:val="auto"/>
                <w:sz w:val="24"/>
                <w:szCs w:val="24"/>
                <w:u w:val="none"/>
                <w:vertAlign w:val="baseline"/>
                <w:lang w:val="en-IN"/>
              </w:rPr>
              <w:t>In process.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tcPr>
          <w:p>
            <w:pPr>
              <w:numPr>
                <w:ilvl w:val="0"/>
                <w:numId w:val="1"/>
              </w:numPr>
              <w:spacing w:after="0" w:line="360" w:lineRule="auto"/>
              <w:rPr>
                <w:rFonts w:hint="default" w:ascii="Times New Roman" w:hAnsi="Times New Roman" w:eastAsia="Century Gothic" w:cs="Times New Roman"/>
                <w:color w:val="000000"/>
                <w:sz w:val="24"/>
                <w:szCs w:val="24"/>
                <w:lang w:val="en-IN"/>
              </w:rPr>
            </w:pPr>
          </w:p>
        </w:tc>
        <w:tc>
          <w:tcPr>
            <w:tcW w:w="3240" w:type="dxa"/>
            <w:vAlign w:val="top"/>
          </w:tcPr>
          <w:p>
            <w:pPr>
              <w:spacing w:after="0" w:line="360" w:lineRule="auto"/>
              <w:rPr>
                <w:rFonts w:hint="default" w:ascii="Times New Roman" w:hAnsi="Times New Roman" w:eastAsia="Century Gothic" w:cs="Times New Roman"/>
                <w:color w:val="000000"/>
                <w:sz w:val="24"/>
                <w:szCs w:val="24"/>
                <w:u w:val="none"/>
                <w:vertAlign w:val="baseline"/>
                <w:lang w:val="en-IN"/>
              </w:rPr>
            </w:pPr>
            <w:r>
              <w:rPr>
                <w:rFonts w:hint="default" w:ascii="Times New Roman" w:hAnsi="Times New Roman" w:eastAsia="Century Gothic" w:cs="Times New Roman"/>
                <w:color w:val="000000"/>
                <w:sz w:val="24"/>
                <w:szCs w:val="24"/>
                <w:u w:val="none"/>
                <w:vertAlign w:val="baseline"/>
                <w:lang w:val="en-IN"/>
              </w:rPr>
              <w:t xml:space="preserve">Record of Consultancy </w:t>
            </w:r>
          </w:p>
        </w:tc>
        <w:tc>
          <w:tcPr>
            <w:tcW w:w="5092" w:type="dxa"/>
            <w:vAlign w:val="top"/>
          </w:tcPr>
          <w:p>
            <w:pPr>
              <w:spacing w:after="0" w:line="360" w:lineRule="auto"/>
              <w:rPr>
                <w:rFonts w:hint="default" w:ascii="Times New Roman" w:hAnsi="Times New Roman" w:eastAsia="Century Gothic" w:cs="Times New Roman"/>
                <w:color w:val="auto"/>
                <w:sz w:val="24"/>
                <w:szCs w:val="24"/>
                <w:u w:val="none"/>
                <w:vertAlign w:val="baseline"/>
                <w:lang w:val="en-IN"/>
              </w:rPr>
            </w:pPr>
            <w:r>
              <w:rPr>
                <w:rFonts w:hint="default" w:ascii="Times New Roman" w:hAnsi="Times New Roman" w:eastAsia="Century Gothic" w:cs="Times New Roman"/>
                <w:color w:val="auto"/>
                <w:sz w:val="24"/>
                <w:szCs w:val="24"/>
                <w:u w:val="none"/>
                <w:vertAlign w:val="baseline"/>
                <w:lang w:val="en-IN"/>
              </w:rPr>
              <w:t>Free consultancy is done</w:t>
            </w:r>
          </w:p>
        </w:tc>
      </w:tr>
    </w:tbl>
    <w:p>
      <w:pPr>
        <w:rPr>
          <w:rFonts w:hint="default" w:ascii="Times New Roman" w:hAnsi="Times New Roman" w:cs="Times New Roman"/>
          <w:sz w:val="24"/>
          <w:szCs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338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vAlign w:val="top"/>
          </w:tcPr>
          <w:p>
            <w:pPr>
              <w:spacing w:after="0" w:line="360" w:lineRule="auto"/>
              <w:rPr>
                <w:rFonts w:hint="default" w:ascii="Times New Roman" w:hAnsi="Times New Roman" w:eastAsia="Century Gothic" w:cs="Times New Roman"/>
                <w:color w:val="000000"/>
                <w:sz w:val="24"/>
                <w:szCs w:val="24"/>
                <w:u w:val="none"/>
                <w:vertAlign w:val="baseline"/>
                <w:lang w:val="en-US" w:eastAsia="en-IN" w:bidi="ar-SA"/>
              </w:rPr>
            </w:pPr>
            <w:r>
              <w:rPr>
                <w:rFonts w:hint="default" w:ascii="Times New Roman" w:hAnsi="Times New Roman" w:eastAsia="Century Gothic" w:cs="Times New Roman"/>
                <w:color w:val="000000"/>
                <w:sz w:val="24"/>
                <w:szCs w:val="24"/>
                <w:u w:val="none"/>
                <w:vertAlign w:val="baseline"/>
                <w:lang w:val="en-IN"/>
              </w:rPr>
              <w:t>S.No</w:t>
            </w:r>
          </w:p>
        </w:tc>
        <w:tc>
          <w:tcPr>
            <w:tcW w:w="3388" w:type="dxa"/>
            <w:vAlign w:val="top"/>
          </w:tcPr>
          <w:p>
            <w:pPr>
              <w:spacing w:after="0" w:line="360" w:lineRule="auto"/>
              <w:rPr>
                <w:rFonts w:hint="default" w:ascii="Times New Roman" w:hAnsi="Times New Roman" w:eastAsia="Century Gothic" w:cs="Times New Roman"/>
                <w:color w:val="000000"/>
                <w:sz w:val="24"/>
                <w:szCs w:val="24"/>
                <w:u w:val="none"/>
                <w:vertAlign w:val="baseline"/>
                <w:lang w:val="en-US" w:eastAsia="en-IN" w:bidi="ar-SA"/>
              </w:rPr>
            </w:pPr>
            <w:r>
              <w:rPr>
                <w:rFonts w:hint="default" w:ascii="Times New Roman" w:hAnsi="Times New Roman" w:eastAsia="Century Gothic" w:cs="Times New Roman"/>
                <w:color w:val="000000"/>
                <w:sz w:val="24"/>
                <w:szCs w:val="24"/>
                <w:u w:val="none"/>
                <w:vertAlign w:val="baseline"/>
                <w:lang w:val="en-IN"/>
              </w:rPr>
              <w:t>Suggestions</w:t>
            </w:r>
          </w:p>
        </w:tc>
        <w:tc>
          <w:tcPr>
            <w:tcW w:w="2131" w:type="dxa"/>
            <w:vAlign w:val="top"/>
          </w:tcPr>
          <w:p>
            <w:pPr>
              <w:spacing w:after="0" w:line="360" w:lineRule="auto"/>
              <w:rPr>
                <w:rFonts w:hint="default" w:ascii="Times New Roman" w:hAnsi="Times New Roman" w:eastAsia="Century Gothic" w:cs="Times New Roman"/>
                <w:color w:val="000000"/>
                <w:sz w:val="24"/>
                <w:szCs w:val="24"/>
                <w:u w:val="none"/>
                <w:vertAlign w:val="baseline"/>
                <w:lang w:val="en-IN" w:eastAsia="en-IN" w:bidi="ar-SA"/>
              </w:rPr>
            </w:pPr>
            <w:r>
              <w:rPr>
                <w:rFonts w:hint="default" w:ascii="Times New Roman" w:hAnsi="Times New Roman" w:eastAsia="Century Gothic" w:cs="Times New Roman"/>
                <w:color w:val="000000"/>
                <w:sz w:val="24"/>
                <w:szCs w:val="24"/>
                <w:u w:val="none"/>
                <w:vertAlign w:val="baseline"/>
                <w:lang w:val="en-IN"/>
              </w:rPr>
              <w:t>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w:t>
            </w:r>
          </w:p>
        </w:tc>
        <w:tc>
          <w:tcPr>
            <w:tcW w:w="3388" w:type="dxa"/>
          </w:tcPr>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Research Publications (2020-21)</w:t>
            </w: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International</w:t>
            </w: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National</w:t>
            </w: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Books / Chapters published</w:t>
            </w:r>
          </w:p>
        </w:tc>
        <w:tc>
          <w:tcPr>
            <w:tcW w:w="2131" w:type="dxa"/>
          </w:tcPr>
          <w:p>
            <w:pPr>
              <w:rPr>
                <w:rFonts w:hint="default" w:ascii="Times New Roman" w:hAnsi="Times New Roman" w:cs="Times New Roman"/>
                <w:sz w:val="24"/>
                <w:szCs w:val="24"/>
                <w:vertAlign w:val="baseline"/>
              </w:rPr>
            </w:pP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12</w:t>
            </w: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11</w:t>
            </w: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rPr>
                <w:rFonts w:hint="default" w:ascii="Times New Roman" w:hAnsi="Times New Roman" w:cs="Times New Roman"/>
                <w:sz w:val="24"/>
                <w:szCs w:val="24"/>
                <w:vertAlign w:val="baseline"/>
              </w:rPr>
            </w:pPr>
          </w:p>
        </w:tc>
        <w:tc>
          <w:tcPr>
            <w:tcW w:w="3388" w:type="dxa"/>
          </w:tcPr>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Minor Research Projects</w:t>
            </w: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2017-18</w:t>
            </w:r>
          </w:p>
        </w:tc>
        <w:tc>
          <w:tcPr>
            <w:tcW w:w="2131" w:type="dxa"/>
          </w:tcPr>
          <w:p>
            <w:pPr>
              <w:rPr>
                <w:rFonts w:hint="default" w:ascii="Times New Roman" w:hAnsi="Times New Roman" w:cs="Times New Roman"/>
                <w:sz w:val="24"/>
                <w:szCs w:val="24"/>
                <w:vertAlign w:val="baseline"/>
                <w:lang w:val="en-US"/>
              </w:rPr>
            </w:pPr>
          </w:p>
          <w:p>
            <w:pPr>
              <w:rPr>
                <w:rFonts w:hint="default" w:ascii="Times New Roman" w:hAnsi="Times New Roman" w:cs="Times New Roman"/>
                <w:sz w:val="24"/>
                <w:szCs w:val="24"/>
                <w:vertAlign w:val="baseline"/>
                <w:lang w:val="en-US"/>
              </w:rPr>
            </w:pPr>
            <w:r>
              <w:rPr>
                <w:rFonts w:hint="default" w:ascii="Times New Roman" w:hAnsi="Times New Roman" w:cs="Times New Roman"/>
                <w:sz w:val="24"/>
                <w:szCs w:val="24"/>
                <w:vertAlign w:val="baseline"/>
                <w:lang w:val="en-US"/>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2.</w:t>
            </w:r>
          </w:p>
        </w:tc>
        <w:tc>
          <w:tcPr>
            <w:tcW w:w="3388" w:type="dxa"/>
          </w:tcPr>
          <w:p>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rPr>
              <w:t>Other than Government Funds(2020-21)</w:t>
            </w:r>
          </w:p>
        </w:tc>
        <w:tc>
          <w:tcPr>
            <w:tcW w:w="2131" w:type="dxa"/>
          </w:tcPr>
          <w:p>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rPr>
              <w:t>Rs.2,00,000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rPr>
                <w:rFonts w:hint="default" w:ascii="Times New Roman" w:hAnsi="Times New Roman" w:cs="Times New Roman"/>
                <w:sz w:val="24"/>
                <w:szCs w:val="24"/>
                <w:vertAlign w:val="baseline"/>
              </w:rPr>
            </w:pPr>
          </w:p>
        </w:tc>
        <w:tc>
          <w:tcPr>
            <w:tcW w:w="3388" w:type="dxa"/>
          </w:tcPr>
          <w:p>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rPr>
              <w:t>Government Funds (2020-21)</w:t>
            </w:r>
          </w:p>
        </w:tc>
        <w:tc>
          <w:tcPr>
            <w:tcW w:w="2131" w:type="dxa"/>
          </w:tcPr>
          <w:p>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rPr>
              <w:t>Rs.5,66,230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rPr>
                <w:rFonts w:hint="default" w:ascii="Times New Roman" w:hAnsi="Times New Roman" w:cs="Times New Roman"/>
                <w:sz w:val="24"/>
                <w:szCs w:val="24"/>
                <w:vertAlign w:val="baseline"/>
              </w:rPr>
            </w:pPr>
          </w:p>
        </w:tc>
        <w:tc>
          <w:tcPr>
            <w:tcW w:w="3388" w:type="dxa"/>
          </w:tcPr>
          <w:p>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rPr>
              <w:t>NGO funds (2020-21)</w:t>
            </w:r>
          </w:p>
        </w:tc>
        <w:tc>
          <w:tcPr>
            <w:tcW w:w="2131" w:type="dxa"/>
          </w:tcPr>
          <w:p>
            <w:pPr>
              <w:rPr>
                <w:rFonts w:hint="default" w:ascii="Times New Roman" w:hAnsi="Times New Roman" w:cs="Times New Roman"/>
                <w:sz w:val="24"/>
                <w:szCs w:val="24"/>
                <w:vertAlign w:val="baseline"/>
              </w:rPr>
            </w:pPr>
            <w:r>
              <w:rPr>
                <w:rFonts w:hint="default" w:ascii="Times New Roman" w:hAnsi="Times New Roman" w:cs="Times New Roman"/>
                <w:sz w:val="24"/>
                <w:szCs w:val="24"/>
                <w:vertAlign w:val="baseline"/>
                <w:lang w:val="en-US"/>
              </w:rPr>
              <w:t>Rs.21,000/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3.</w:t>
            </w: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FDP Programs during 2020-21</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rPr>
                <w:rFonts w:hint="default" w:ascii="Times New Roman" w:hAnsi="Times New Roman" w:cs="Times New Roman"/>
                <w:sz w:val="24"/>
                <w:szCs w:val="24"/>
                <w:vertAlign w:val="baseline"/>
              </w:rPr>
            </w:pP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FDP Programs during 2021-22</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rPr>
                <w:rFonts w:hint="default" w:ascii="Times New Roman" w:hAnsi="Times New Roman" w:cs="Times New Roman"/>
                <w:sz w:val="24"/>
                <w:szCs w:val="24"/>
                <w:vertAlign w:val="baseline"/>
              </w:rPr>
            </w:pP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FDP programs attended by Staff during 2020-21</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rPr>
                <w:rFonts w:hint="default" w:ascii="Times New Roman" w:hAnsi="Times New Roman" w:cs="Times New Roman"/>
                <w:sz w:val="24"/>
                <w:szCs w:val="24"/>
                <w:vertAlign w:val="baseline"/>
              </w:rPr>
            </w:pP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FDP programs attended by Staff during 2021-22</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4.</w:t>
            </w: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Alumni Funds during 2020-21</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Rs.8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5.</w:t>
            </w: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Students trained for Competitive exams by JKC during 2021-22</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6.</w:t>
            </w: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Percentage of students selected for Placements 2020-21</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30%</w:t>
            </w:r>
          </w:p>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7.</w:t>
            </w: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Students Progression during 2020-21</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9.</w:t>
            </w: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Workshop on IPR during 2020-21</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Workshop on IPR during 2021-22</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10.</w:t>
            </w: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Extension Activities during 2020-21</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Extension Activities during 2021-22</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11.</w:t>
            </w: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Number of Awards during 2020-21</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Number of Awards during 2021-22</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12.</w:t>
            </w: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Number of Student Projects 2020-21</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14.</w:t>
            </w: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Research- Number of PhD’s acquired during 2020-21</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p>
        </w:tc>
        <w:tc>
          <w:tcPr>
            <w:tcW w:w="3388"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Number of Paper Publications 2020-21</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15.</w:t>
            </w:r>
          </w:p>
        </w:tc>
        <w:tc>
          <w:tcPr>
            <w:tcW w:w="3388" w:type="dxa"/>
          </w:tcPr>
          <w:p>
            <w:pPr>
              <w:rPr>
                <w:rFonts w:hint="default" w:ascii="Times New Roman" w:hAnsi="Times New Roman" w:eastAsia="Century Gothic" w:cs="Times New Roman"/>
                <w:color w:val="000000"/>
                <w:sz w:val="24"/>
                <w:szCs w:val="24"/>
                <w:u w:val="none"/>
                <w:vertAlign w:val="baseline"/>
                <w:lang w:val="en-IN"/>
              </w:rPr>
            </w:pPr>
            <w:r>
              <w:rPr>
                <w:rFonts w:hint="default" w:ascii="Times New Roman" w:hAnsi="Times New Roman" w:eastAsia="Century Gothic" w:cs="Times New Roman"/>
                <w:color w:val="000000"/>
                <w:sz w:val="24"/>
                <w:szCs w:val="24"/>
                <w:u w:val="none"/>
                <w:vertAlign w:val="baseline"/>
                <w:lang w:val="en-IN"/>
              </w:rPr>
              <w:t>Facilities for differently</w:t>
            </w:r>
            <w:r>
              <w:rPr>
                <w:rFonts w:hint="default" w:ascii="Times New Roman" w:hAnsi="Times New Roman" w:eastAsia="Century Gothic" w:cs="Times New Roman"/>
                <w:color w:val="000000"/>
                <w:sz w:val="24"/>
                <w:szCs w:val="24"/>
                <w:u w:val="none"/>
                <w:vertAlign w:val="baseline"/>
                <w:lang w:val="en-US"/>
              </w:rPr>
              <w:t xml:space="preserve"> able</w:t>
            </w:r>
            <w:r>
              <w:rPr>
                <w:rFonts w:hint="default" w:ascii="Times New Roman" w:hAnsi="Times New Roman" w:eastAsia="Century Gothic" w:cs="Times New Roman"/>
                <w:color w:val="000000"/>
                <w:sz w:val="24"/>
                <w:szCs w:val="24"/>
                <w:u w:val="none"/>
                <w:vertAlign w:val="baseline"/>
                <w:lang w:val="en-IN"/>
              </w:rPr>
              <w:t xml:space="preserve"> students during 2020-21:</w:t>
            </w:r>
          </w:p>
          <w:p>
            <w:pPr>
              <w:rPr>
                <w:rFonts w:hint="default" w:ascii="Times New Roman" w:hAnsi="Times New Roman" w:eastAsia="Century Gothic" w:cs="Times New Roman"/>
                <w:color w:val="000000"/>
                <w:sz w:val="24"/>
                <w:szCs w:val="24"/>
                <w:u w:val="none"/>
                <w:vertAlign w:val="baseline"/>
                <w:lang w:val="en-IN"/>
              </w:rPr>
            </w:pPr>
            <w:r>
              <w:rPr>
                <w:rFonts w:hint="default" w:ascii="Times New Roman" w:hAnsi="Times New Roman" w:eastAsia="Century Gothic" w:cs="Times New Roman"/>
                <w:color w:val="000000"/>
                <w:sz w:val="24"/>
                <w:szCs w:val="24"/>
                <w:u w:val="none"/>
                <w:vertAlign w:val="baseline"/>
                <w:lang w:val="en-IN"/>
              </w:rPr>
              <w:t>No. Of Ramps</w:t>
            </w:r>
          </w:p>
        </w:tc>
        <w:tc>
          <w:tcPr>
            <w:tcW w:w="2131" w:type="dxa"/>
          </w:tcPr>
          <w:p>
            <w:pPr>
              <w:rPr>
                <w:rFonts w:hint="default" w:ascii="Times New Roman" w:hAnsi="Times New Roman" w:cs="Times New Roman"/>
                <w:sz w:val="24"/>
                <w:szCs w:val="24"/>
                <w:vertAlign w:val="baseline"/>
                <w:lang w:val="en-IN"/>
              </w:rPr>
            </w:pPr>
          </w:p>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p>
        </w:tc>
        <w:tc>
          <w:tcPr>
            <w:tcW w:w="3388" w:type="dxa"/>
          </w:tcPr>
          <w:p>
            <w:pPr>
              <w:rPr>
                <w:rFonts w:hint="default" w:ascii="Times New Roman" w:hAnsi="Times New Roman" w:eastAsia="Century Gothic" w:cs="Times New Roman"/>
                <w:color w:val="000000"/>
                <w:sz w:val="24"/>
                <w:szCs w:val="24"/>
                <w:u w:val="none"/>
                <w:vertAlign w:val="baseline"/>
                <w:lang w:val="en-IN"/>
              </w:rPr>
            </w:pPr>
            <w:r>
              <w:rPr>
                <w:rFonts w:hint="default" w:ascii="Times New Roman" w:hAnsi="Times New Roman" w:eastAsia="Century Gothic" w:cs="Times New Roman"/>
                <w:color w:val="000000"/>
                <w:sz w:val="24"/>
                <w:szCs w:val="24"/>
                <w:u w:val="none"/>
                <w:vertAlign w:val="baseline"/>
                <w:lang w:val="en-IN"/>
              </w:rPr>
              <w:t>No. Of Scholarships</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p>
        </w:tc>
        <w:tc>
          <w:tcPr>
            <w:tcW w:w="3388" w:type="dxa"/>
          </w:tcPr>
          <w:p>
            <w:pPr>
              <w:rPr>
                <w:rFonts w:hint="default" w:ascii="Times New Roman" w:hAnsi="Times New Roman" w:eastAsia="Century Gothic" w:cs="Times New Roman"/>
                <w:color w:val="000000"/>
                <w:sz w:val="24"/>
                <w:szCs w:val="24"/>
                <w:u w:val="none"/>
                <w:vertAlign w:val="baseline"/>
                <w:lang w:val="en-IN"/>
              </w:rPr>
            </w:pPr>
            <w:r>
              <w:rPr>
                <w:rFonts w:hint="default" w:ascii="Times New Roman" w:hAnsi="Times New Roman" w:eastAsia="Century Gothic" w:cs="Times New Roman"/>
                <w:color w:val="000000"/>
                <w:sz w:val="24"/>
                <w:szCs w:val="24"/>
                <w:u w:val="none"/>
                <w:vertAlign w:val="baseline"/>
                <w:lang w:val="en-IN"/>
              </w:rPr>
              <w:t>No, of Laptops distributed</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18.</w:t>
            </w:r>
          </w:p>
        </w:tc>
        <w:tc>
          <w:tcPr>
            <w:tcW w:w="3388" w:type="dxa"/>
          </w:tcPr>
          <w:p>
            <w:pPr>
              <w:rPr>
                <w:rFonts w:hint="default" w:ascii="Times New Roman" w:hAnsi="Times New Roman" w:eastAsia="Century Gothic" w:cs="Times New Roman"/>
                <w:color w:val="000000"/>
                <w:sz w:val="24"/>
                <w:szCs w:val="24"/>
                <w:u w:val="none"/>
                <w:vertAlign w:val="baseline"/>
                <w:lang w:val="en-IN"/>
              </w:rPr>
            </w:pPr>
            <w:r>
              <w:rPr>
                <w:rFonts w:hint="default" w:ascii="Times New Roman" w:hAnsi="Times New Roman" w:eastAsia="Century Gothic" w:cs="Times New Roman"/>
                <w:color w:val="000000"/>
                <w:sz w:val="24"/>
                <w:szCs w:val="24"/>
                <w:u w:val="none"/>
                <w:vertAlign w:val="baseline"/>
                <w:lang w:val="en-IN"/>
              </w:rPr>
              <w:t>Work shops and Seminars conducted during 2020-21</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2" w:type="dxa"/>
          </w:tcPr>
          <w:p>
            <w:pPr>
              <w:numPr>
                <w:numId w:val="0"/>
              </w:numPr>
              <w:rPr>
                <w:rFonts w:hint="default" w:ascii="Times New Roman" w:hAnsi="Times New Roman" w:cs="Times New Roman"/>
                <w:sz w:val="24"/>
                <w:szCs w:val="24"/>
                <w:vertAlign w:val="baseline"/>
                <w:lang w:val="en-IN"/>
              </w:rPr>
            </w:pPr>
          </w:p>
        </w:tc>
        <w:tc>
          <w:tcPr>
            <w:tcW w:w="3388" w:type="dxa"/>
          </w:tcPr>
          <w:p>
            <w:pPr>
              <w:rPr>
                <w:rFonts w:hint="default" w:ascii="Times New Roman" w:hAnsi="Times New Roman" w:eastAsia="Century Gothic" w:cs="Times New Roman"/>
                <w:color w:val="000000"/>
                <w:sz w:val="24"/>
                <w:szCs w:val="24"/>
                <w:u w:val="none"/>
                <w:vertAlign w:val="baseline"/>
                <w:lang w:val="en-IN"/>
              </w:rPr>
            </w:pPr>
            <w:r>
              <w:rPr>
                <w:rFonts w:hint="default" w:ascii="Times New Roman" w:hAnsi="Times New Roman" w:eastAsia="Century Gothic" w:cs="Times New Roman"/>
                <w:color w:val="000000"/>
                <w:sz w:val="24"/>
                <w:szCs w:val="24"/>
                <w:u w:val="none"/>
                <w:vertAlign w:val="baseline"/>
                <w:lang w:val="en-IN"/>
              </w:rPr>
              <w:t>Work shops and Seminars conducted during 2021-22</w:t>
            </w:r>
          </w:p>
        </w:tc>
        <w:tc>
          <w:tcPr>
            <w:tcW w:w="2131" w:type="dxa"/>
          </w:tcPr>
          <w:p>
            <w:pPr>
              <w:rPr>
                <w:rFonts w:hint="default" w:ascii="Times New Roman" w:hAnsi="Times New Roman" w:cs="Times New Roman"/>
                <w:sz w:val="24"/>
                <w:szCs w:val="24"/>
                <w:vertAlign w:val="baseline"/>
                <w:lang w:val="en-IN"/>
              </w:rPr>
            </w:pPr>
            <w:r>
              <w:rPr>
                <w:rFonts w:hint="default" w:ascii="Times New Roman" w:hAnsi="Times New Roman" w:cs="Times New Roman"/>
                <w:sz w:val="24"/>
                <w:szCs w:val="24"/>
                <w:vertAlign w:val="baseline"/>
                <w:lang w:val="en-IN"/>
              </w:rPr>
              <w:t>14</w:t>
            </w:r>
          </w:p>
        </w:tc>
      </w:tr>
    </w:tbl>
    <w:p>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7D86BE"/>
    <w:multiLevelType w:val="singleLevel"/>
    <w:tmpl w:val="187D86BE"/>
    <w:lvl w:ilvl="0" w:tentative="0">
      <w:start w:val="1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576A4"/>
    <w:rsid w:val="041F5804"/>
    <w:rsid w:val="04D330E5"/>
    <w:rsid w:val="05C051F1"/>
    <w:rsid w:val="0AAD4697"/>
    <w:rsid w:val="0B4C0ACD"/>
    <w:rsid w:val="0B604F52"/>
    <w:rsid w:val="0D8B6013"/>
    <w:rsid w:val="0F5F5CA1"/>
    <w:rsid w:val="1A2F003B"/>
    <w:rsid w:val="1AE81F67"/>
    <w:rsid w:val="233A7000"/>
    <w:rsid w:val="25AD7E6B"/>
    <w:rsid w:val="2D69379E"/>
    <w:rsid w:val="30642630"/>
    <w:rsid w:val="3065474A"/>
    <w:rsid w:val="323B7F17"/>
    <w:rsid w:val="33AC39F7"/>
    <w:rsid w:val="4C147525"/>
    <w:rsid w:val="4F6E6796"/>
    <w:rsid w:val="553C1576"/>
    <w:rsid w:val="598F6750"/>
    <w:rsid w:val="5AB27EC3"/>
    <w:rsid w:val="5B066AA6"/>
    <w:rsid w:val="5F0862C3"/>
    <w:rsid w:val="5F950CC7"/>
    <w:rsid w:val="5FBC7B73"/>
    <w:rsid w:val="60A17752"/>
    <w:rsid w:val="60E43B1F"/>
    <w:rsid w:val="66723681"/>
    <w:rsid w:val="68DF7ED9"/>
    <w:rsid w:val="6CB867EA"/>
    <w:rsid w:val="6DAD2431"/>
    <w:rsid w:val="71D576A4"/>
    <w:rsid w:val="759A737B"/>
    <w:rsid w:val="7AB930CE"/>
    <w:rsid w:val="7AF72E12"/>
    <w:rsid w:val="7C4D0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I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2022-07-27T07:12:00Z</dcterms:created>
  <dc:creator>chand</dc:creator>
  <cp:lastModifiedBy>kameswari rayapati</cp:lastModifiedBy>
  <dcterms:modified xsi:type="dcterms:W3CDTF">2022-07-27T18:09:58Z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AB9342835BC9445A9B936787965F2522</vt:lpwstr>
  </property>
</Properties>
</file>